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6"/>
        <w:gridCol w:w="3122"/>
      </w:tblGrid>
      <w:tr w:rsidR="00CD2373" w:rsidRPr="00C671FC" w:rsidTr="006424A9">
        <w:trPr>
          <w:trHeight w:val="987"/>
        </w:trPr>
        <w:tc>
          <w:tcPr>
            <w:tcW w:w="4920" w:type="dxa"/>
            <w:hideMark/>
          </w:tcPr>
          <w:p w:rsidR="006424A9" w:rsidRDefault="00C671FC">
            <w:pPr>
              <w:tabs>
                <w:tab w:val="center" w:pos="3385"/>
              </w:tabs>
              <w:spacing w:before="240" w:after="120"/>
              <w:rPr>
                <w:color w:val="215868" w:themeColor="accent5" w:themeShade="80"/>
              </w:rPr>
            </w:pPr>
            <w:r>
              <w:rPr>
                <w:noProof/>
                <w:lang w:bidi="ar-SA"/>
              </w:rPr>
              <w:drawing>
                <wp:inline distT="0" distB="0" distL="0" distR="0" wp14:anchorId="02BF5539" wp14:editId="6F25124C">
                  <wp:extent cx="41529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52900" cy="866775"/>
                          </a:xfrm>
                          <a:prstGeom prst="rect">
                            <a:avLst/>
                          </a:prstGeom>
                        </pic:spPr>
                      </pic:pic>
                    </a:graphicData>
                  </a:graphic>
                </wp:inline>
              </w:drawing>
            </w:r>
            <w:bookmarkStart w:id="0" w:name="_GoBack"/>
            <w:bookmarkEnd w:id="0"/>
            <w:r>
              <w:rPr>
                <w:rFonts w:hint="eastAsia"/>
                <w:color w:val="215868" w:themeColor="accent5" w:themeShade="80"/>
                <w:sz w:val="14"/>
                <w:lang w:val="en-US"/>
              </w:rPr>
              <w:t xml:space="preserve">_______________________________ </w:t>
            </w:r>
            <w:r>
              <w:rPr>
                <w:rFonts w:hint="eastAsia"/>
                <w:color w:val="215868" w:themeColor="accent5" w:themeShade="80"/>
                <w:sz w:val="14"/>
                <w:lang w:val="en-US"/>
              </w:rPr>
              <w:t>№</w:t>
            </w:r>
            <w:r>
              <w:rPr>
                <w:rFonts w:hint="eastAsia"/>
                <w:color w:val="215868" w:themeColor="accent5" w:themeShade="80"/>
                <w:sz w:val="14"/>
                <w:lang w:val="en-US"/>
              </w:rPr>
              <w:t xml:space="preserve"> __________________________________________________</w:t>
            </w:r>
          </w:p>
        </w:tc>
        <w:tc>
          <w:tcPr>
            <w:tcW w:w="4921" w:type="dxa"/>
            <w:hideMark/>
          </w:tcPr>
          <w:p w:rsidR="006424A9" w:rsidRPr="00C671FC" w:rsidRDefault="00C671FC">
            <w:pPr>
              <w:rPr>
                <w:rFonts w:asciiTheme="minorHAnsi" w:hAnsiTheme="minorHAnsi"/>
                <w:color w:val="215868" w:themeColor="accent5" w:themeShade="80"/>
                <w:sz w:val="12"/>
                <w:lang w:val="en-US"/>
              </w:rPr>
            </w:pPr>
            <w:r>
              <w:rPr>
                <w:rFonts w:asciiTheme="minorHAnsi" w:hAnsiTheme="minorHAnsi"/>
                <w:color w:val="215868" w:themeColor="accent5" w:themeShade="80"/>
                <w:sz w:val="12"/>
                <w:lang w:val="en-US"/>
              </w:rPr>
              <w:t xml:space="preserve">Public Joint-Stock Company </w:t>
            </w:r>
          </w:p>
          <w:p w:rsidR="006424A9" w:rsidRPr="00C671FC" w:rsidRDefault="00C671FC">
            <w:pPr>
              <w:rPr>
                <w:rFonts w:asciiTheme="minorHAnsi" w:hAnsiTheme="minorHAnsi"/>
                <w:color w:val="215868" w:themeColor="accent5" w:themeShade="80"/>
                <w:sz w:val="12"/>
                <w:lang w:val="en-US"/>
              </w:rPr>
            </w:pPr>
            <w:r>
              <w:rPr>
                <w:rFonts w:asciiTheme="minorHAnsi" w:hAnsiTheme="minorHAnsi"/>
                <w:color w:val="215868" w:themeColor="accent5" w:themeShade="80"/>
                <w:sz w:val="12"/>
                <w:lang w:val="en-US"/>
              </w:rPr>
              <w:t>INTERREGIONAL DISTRIBUTION GRID COMPANY OF THE SOUTH</w:t>
            </w:r>
          </w:p>
          <w:p w:rsidR="006424A9" w:rsidRPr="00C671FC" w:rsidRDefault="00C671FC">
            <w:pPr>
              <w:rPr>
                <w:rFonts w:asciiTheme="minorHAnsi" w:hAnsiTheme="minorHAnsi"/>
                <w:color w:val="215868" w:themeColor="accent5" w:themeShade="80"/>
                <w:sz w:val="12"/>
                <w:lang w:val="en-US"/>
              </w:rPr>
            </w:pPr>
            <w:r>
              <w:rPr>
                <w:rFonts w:asciiTheme="minorHAnsi" w:hAnsiTheme="minorHAnsi"/>
                <w:color w:val="215868" w:themeColor="accent5" w:themeShade="80"/>
                <w:sz w:val="12"/>
                <w:lang w:val="en-US"/>
              </w:rPr>
              <w:t xml:space="preserve">Bolshaya </w:t>
            </w:r>
            <w:proofErr w:type="spellStart"/>
            <w:r>
              <w:rPr>
                <w:rFonts w:asciiTheme="minorHAnsi" w:hAnsiTheme="minorHAnsi"/>
                <w:color w:val="215868" w:themeColor="accent5" w:themeShade="80"/>
                <w:sz w:val="12"/>
                <w:lang w:val="en-US"/>
              </w:rPr>
              <w:t>Sadovaya</w:t>
            </w:r>
            <w:proofErr w:type="spellEnd"/>
            <w:r>
              <w:rPr>
                <w:rFonts w:asciiTheme="minorHAnsi" w:hAnsiTheme="minorHAnsi"/>
                <w:color w:val="215868" w:themeColor="accent5" w:themeShade="80"/>
                <w:sz w:val="12"/>
                <w:lang w:val="en-US"/>
              </w:rPr>
              <w:t xml:space="preserve"> street, 49, Rostov-on-Don, 344002, </w:t>
            </w:r>
          </w:p>
          <w:p w:rsidR="006424A9" w:rsidRPr="00C671FC" w:rsidRDefault="00C671FC">
            <w:pPr>
              <w:rPr>
                <w:rFonts w:asciiTheme="minorHAnsi" w:hAnsiTheme="minorHAnsi"/>
                <w:color w:val="215868" w:themeColor="accent5" w:themeShade="80"/>
                <w:sz w:val="12"/>
                <w:lang w:val="en-US"/>
              </w:rPr>
            </w:pPr>
            <w:r>
              <w:rPr>
                <w:rFonts w:asciiTheme="minorHAnsi" w:hAnsiTheme="minorHAnsi"/>
                <w:color w:val="215868" w:themeColor="accent5" w:themeShade="80"/>
                <w:sz w:val="12"/>
                <w:lang w:val="en-US"/>
              </w:rPr>
              <w:t xml:space="preserve">phone: (863)238-58-95, 238-54-64, Fax: (863)238-55-65 </w:t>
            </w:r>
          </w:p>
          <w:p w:rsidR="006424A9" w:rsidRPr="00C671FC" w:rsidRDefault="00C671FC">
            <w:pPr>
              <w:rPr>
                <w:rFonts w:asciiTheme="minorHAnsi" w:hAnsiTheme="minorHAnsi"/>
                <w:color w:val="215868" w:themeColor="accent5" w:themeShade="80"/>
                <w:sz w:val="12"/>
                <w:lang w:val="en-US" w:eastAsia="en-US" w:bidi="en-US"/>
              </w:rPr>
            </w:pPr>
            <w:r>
              <w:rPr>
                <w:rFonts w:asciiTheme="minorHAnsi" w:hAnsiTheme="minorHAnsi"/>
                <w:color w:val="215868" w:themeColor="accent5" w:themeShade="80"/>
                <w:sz w:val="12"/>
                <w:lang w:val="en-US" w:eastAsia="en-US" w:bidi="en-US"/>
              </w:rPr>
              <w:t xml:space="preserve">E-mail: office@mrsk-yuga.ru </w:t>
            </w:r>
          </w:p>
          <w:p w:rsidR="006424A9" w:rsidRPr="00C671FC" w:rsidRDefault="00C671FC">
            <w:pPr>
              <w:rPr>
                <w:lang w:val="en-US"/>
              </w:rPr>
            </w:pPr>
            <w:r>
              <w:rPr>
                <w:rFonts w:asciiTheme="minorHAnsi" w:hAnsiTheme="minorHAnsi"/>
                <w:color w:val="215868" w:themeColor="accent5" w:themeShade="80"/>
                <w:sz w:val="12"/>
                <w:lang w:val="en-US" w:eastAsia="en-US" w:bidi="en-US"/>
              </w:rPr>
              <w:t>http://www.mrsk-yuga.ru/</w:t>
            </w:r>
          </w:p>
        </w:tc>
      </w:tr>
    </w:tbl>
    <w:p w:rsidR="006424A9" w:rsidRDefault="00C671FC">
      <w:pPr>
        <w:pStyle w:val="60"/>
        <w:shd w:val="clear" w:color="auto" w:fill="auto"/>
        <w:spacing w:before="0"/>
        <w:ind w:right="80"/>
        <w:rPr>
          <w:lang w:val="en-US"/>
        </w:rPr>
      </w:pPr>
    </w:p>
    <w:p w:rsidR="00285954" w:rsidRPr="00C671FC" w:rsidRDefault="00C671FC">
      <w:pPr>
        <w:pStyle w:val="60"/>
        <w:shd w:val="clear" w:color="auto" w:fill="auto"/>
        <w:spacing w:before="0"/>
        <w:ind w:right="80"/>
        <w:rPr>
          <w:lang w:val="en-US"/>
        </w:rPr>
      </w:pPr>
      <w:r>
        <w:rPr>
          <w:lang w:val="en-US"/>
        </w:rPr>
        <w:t>PROJECTS</w:t>
      </w:r>
    </w:p>
    <w:p w:rsidR="00285954" w:rsidRPr="00C671FC" w:rsidRDefault="00C671FC">
      <w:pPr>
        <w:pStyle w:val="300"/>
        <w:keepNext/>
        <w:keepLines/>
        <w:shd w:val="clear" w:color="auto" w:fill="auto"/>
        <w:ind w:right="80"/>
        <w:rPr>
          <w:lang w:val="en-US"/>
        </w:rPr>
      </w:pPr>
      <w:bookmarkStart w:id="1" w:name="bookmark2"/>
      <w:r>
        <w:rPr>
          <w:lang w:val="en-US"/>
        </w:rPr>
        <w:t>of decisions of the extraordinary General meeting of shareholders of PJSC "IDGC of South»</w:t>
      </w:r>
      <w:bookmarkEnd w:id="1"/>
    </w:p>
    <w:p w:rsidR="00285954" w:rsidRPr="00C671FC" w:rsidRDefault="00C671FC">
      <w:pPr>
        <w:pStyle w:val="60"/>
        <w:shd w:val="clear" w:color="auto" w:fill="auto"/>
        <w:spacing w:before="0" w:after="240"/>
        <w:ind w:right="80"/>
        <w:rPr>
          <w:lang w:val="en-US"/>
        </w:rPr>
      </w:pPr>
      <w:r>
        <w:rPr>
          <w:lang w:val="en-US"/>
        </w:rPr>
        <w:t>(April 18, 2019)</w:t>
      </w:r>
    </w:p>
    <w:p w:rsidR="00285954" w:rsidRPr="00C671FC" w:rsidRDefault="00C671FC">
      <w:pPr>
        <w:pStyle w:val="300"/>
        <w:keepNext/>
        <w:keepLines/>
        <w:shd w:val="clear" w:color="auto" w:fill="auto"/>
        <w:jc w:val="both"/>
        <w:rPr>
          <w:lang w:val="en-US"/>
        </w:rPr>
      </w:pPr>
      <w:bookmarkStart w:id="2" w:name="bookmark3"/>
      <w:r>
        <w:rPr>
          <w:rStyle w:val="33"/>
          <w:b/>
          <w:bCs/>
          <w:lang w:val="en-US"/>
        </w:rPr>
        <w:t>ISSUE 1:</w:t>
      </w:r>
      <w:r>
        <w:rPr>
          <w:lang w:val="en-US"/>
        </w:rPr>
        <w:t xml:space="preserve"> The determination of the amount, nominal value, category (type) of the declared shares of  IDGC of the South, PJSC and the rights granted by these shares;</w:t>
      </w:r>
      <w:bookmarkEnd w:id="2"/>
    </w:p>
    <w:p w:rsidR="00285954" w:rsidRPr="00C671FC" w:rsidRDefault="00C671FC">
      <w:pPr>
        <w:pStyle w:val="60"/>
        <w:shd w:val="clear" w:color="auto" w:fill="auto"/>
        <w:spacing w:before="0"/>
        <w:jc w:val="both"/>
        <w:rPr>
          <w:lang w:val="en-US"/>
        </w:rPr>
      </w:pPr>
      <w:r>
        <w:rPr>
          <w:rStyle w:val="61"/>
          <w:b/>
          <w:bCs/>
          <w:lang w:val="en-US"/>
        </w:rPr>
        <w:t>DRAFT DECISION:</w:t>
      </w:r>
    </w:p>
    <w:p w:rsidR="00285954" w:rsidRPr="00C671FC" w:rsidRDefault="00C671FC">
      <w:pPr>
        <w:pStyle w:val="23"/>
        <w:shd w:val="clear" w:color="auto" w:fill="auto"/>
        <w:ind w:firstLine="680"/>
        <w:rPr>
          <w:lang w:val="en-US"/>
        </w:rPr>
      </w:pPr>
      <w:r>
        <w:rPr>
          <w:lang w:val="en-US"/>
        </w:rPr>
        <w:t>To determine that the number of authorized ordinary registered uncertified shares, w</w:t>
      </w:r>
      <w:r>
        <w:rPr>
          <w:lang w:val="en-US"/>
        </w:rPr>
        <w:t>hich IDGC of South, PJSC (hereinafter referred to as the Company) has the right to place in addition to the ordinary placed registered stock, is 19,963,551,259 (Nineteen billion nine hundred sixty three million five hundred fifty one thousand two hundred n</w:t>
      </w:r>
      <w:r>
        <w:rPr>
          <w:lang w:val="en-US"/>
        </w:rPr>
        <w:t>ineteen) ordinary registered uncertified shares, the nominal value of one share being 10 (ten) kopecks at a total of 1,996,355,125 (one billion nine hundred ninety six million three hundred fifty five thousand one hundred twenty-five) rubles 90 kopecks.</w:t>
      </w:r>
      <w:r>
        <w:rPr>
          <w:lang w:val="en-US"/>
        </w:rPr>
        <w:softHyphen/>
      </w:r>
      <w:r>
        <w:rPr>
          <w:lang w:val="en-US"/>
        </w:rPr>
        <w:softHyphen/>
      </w:r>
      <w:r>
        <w:rPr>
          <w:lang w:val="en-US"/>
        </w:rPr>
        <w:softHyphen/>
      </w:r>
    </w:p>
    <w:p w:rsidR="00285954" w:rsidRPr="00C671FC" w:rsidRDefault="00C671FC">
      <w:pPr>
        <w:pStyle w:val="23"/>
        <w:shd w:val="clear" w:color="auto" w:fill="auto"/>
        <w:spacing w:after="240"/>
        <w:ind w:firstLine="680"/>
        <w:jc w:val="left"/>
        <w:rPr>
          <w:lang w:val="en-US"/>
        </w:rPr>
      </w:pPr>
      <w:r>
        <w:rPr>
          <w:lang w:val="en-US"/>
        </w:rPr>
        <w:t>Ordinary registered shares authorized by the Company for placement grant their owners the rights provided  in clause 6.2. of this Charter.</w:t>
      </w:r>
      <w:r>
        <w:rPr>
          <w:lang w:val="en-US"/>
        </w:rPr>
        <w:softHyphen/>
        <w:t xml:space="preserve"> The Charter of the Company;</w:t>
      </w:r>
    </w:p>
    <w:p w:rsidR="00285954" w:rsidRPr="00C671FC" w:rsidRDefault="00C671FC">
      <w:pPr>
        <w:pStyle w:val="60"/>
        <w:shd w:val="clear" w:color="auto" w:fill="auto"/>
        <w:spacing w:before="0"/>
        <w:jc w:val="both"/>
        <w:rPr>
          <w:lang w:val="en-US"/>
        </w:rPr>
      </w:pPr>
      <w:r>
        <w:rPr>
          <w:rStyle w:val="61"/>
          <w:b/>
          <w:bCs/>
          <w:lang w:val="en-US"/>
        </w:rPr>
        <w:t>ISSUE 2:</w:t>
      </w:r>
      <w:r>
        <w:rPr>
          <w:lang w:val="en-US"/>
        </w:rPr>
        <w:t xml:space="preserve"> On amendment to the Charter of IDGC of South, PJSC </w:t>
      </w:r>
    </w:p>
    <w:p w:rsidR="00285954" w:rsidRPr="00C671FC" w:rsidRDefault="00C671FC">
      <w:pPr>
        <w:pStyle w:val="60"/>
        <w:shd w:val="clear" w:color="auto" w:fill="auto"/>
        <w:spacing w:before="0"/>
        <w:jc w:val="both"/>
        <w:rPr>
          <w:lang w:val="en-US"/>
        </w:rPr>
      </w:pPr>
      <w:r>
        <w:rPr>
          <w:rStyle w:val="61"/>
          <w:b/>
          <w:bCs/>
          <w:lang w:val="en-US"/>
        </w:rPr>
        <w:t>DRAFT DECISION:</w:t>
      </w:r>
    </w:p>
    <w:p w:rsidR="00285954" w:rsidRPr="00C671FC" w:rsidRDefault="00C671FC">
      <w:pPr>
        <w:pStyle w:val="23"/>
        <w:shd w:val="clear" w:color="auto" w:fill="auto"/>
        <w:ind w:firstLine="680"/>
        <w:rPr>
          <w:lang w:val="en-US"/>
        </w:rPr>
      </w:pPr>
      <w:r>
        <w:rPr>
          <w:lang w:val="en-US"/>
        </w:rPr>
        <w:t>To make th</w:t>
      </w:r>
      <w:r>
        <w:rPr>
          <w:lang w:val="en-US"/>
        </w:rPr>
        <w:t>e following amendments to the Charter of IDGC of the South, PJSC:</w:t>
      </w:r>
    </w:p>
    <w:p w:rsidR="00285954" w:rsidRPr="00C671FC" w:rsidRDefault="00C671FC">
      <w:pPr>
        <w:pStyle w:val="23"/>
        <w:shd w:val="clear" w:color="auto" w:fill="auto"/>
        <w:ind w:firstLine="680"/>
        <w:rPr>
          <w:lang w:val="en-US"/>
        </w:rPr>
      </w:pPr>
      <w:r>
        <w:rPr>
          <w:lang w:val="en-US"/>
        </w:rPr>
        <w:t>“Clause 4.5. of Article 4 of the Company Charter should be amended as follows:</w:t>
      </w:r>
    </w:p>
    <w:p w:rsidR="00285954" w:rsidRPr="00C671FC" w:rsidRDefault="00C671FC">
      <w:pPr>
        <w:pStyle w:val="23"/>
        <w:shd w:val="clear" w:color="auto" w:fill="auto"/>
        <w:ind w:firstLine="680"/>
        <w:rPr>
          <w:lang w:val="en-US"/>
        </w:rPr>
      </w:pPr>
      <w:r>
        <w:rPr>
          <w:lang w:val="en-US"/>
        </w:rPr>
        <w:t>4.5. Reduction of the authorized capital of the Company is carried out in accordance with the procedure provide</w:t>
      </w:r>
      <w:r>
        <w:rPr>
          <w:lang w:val="en-US"/>
        </w:rPr>
        <w:t>d for by the legislation of the Russian Federation and this Charter.</w:t>
      </w:r>
    </w:p>
    <w:p w:rsidR="00285954" w:rsidRPr="00C671FC" w:rsidRDefault="00C671FC">
      <w:pPr>
        <w:pStyle w:val="23"/>
        <w:shd w:val="clear" w:color="auto" w:fill="auto"/>
        <w:spacing w:line="302" w:lineRule="exact"/>
        <w:ind w:firstLine="680"/>
        <w:rPr>
          <w:lang w:val="en-US"/>
        </w:rPr>
      </w:pPr>
      <w:r>
        <w:rPr>
          <w:lang w:val="en-US"/>
        </w:rPr>
        <w:t>The Company is obliged to reduce its authorized capital in cases provided for by the Federal Law “On Joint-Stock Companies”.</w:t>
      </w:r>
      <w:r>
        <w:rPr>
          <w:lang w:val="en-US"/>
        </w:rPr>
        <w:softHyphen/>
      </w:r>
    </w:p>
    <w:p w:rsidR="00285954" w:rsidRPr="00C671FC" w:rsidRDefault="00C671FC">
      <w:pPr>
        <w:pStyle w:val="23"/>
        <w:shd w:val="clear" w:color="auto" w:fill="auto"/>
        <w:ind w:firstLine="680"/>
        <w:rPr>
          <w:lang w:val="en-US"/>
        </w:rPr>
      </w:pPr>
      <w:r>
        <w:rPr>
          <w:lang w:val="en-US"/>
        </w:rPr>
        <w:t xml:space="preserve">In addition to the outstanding shares, the Company announces </w:t>
      </w:r>
      <w:r>
        <w:rPr>
          <w:lang w:val="en-US"/>
        </w:rPr>
        <w:t>19,963,551,259 (Nineteen billion nine hundred sixty-three million five hundred fifty-one thousand two hundred fifty-nine) ordinary registered uncertified shares with  the nominal value of one share being  10 (Ten) kopecks at a total amount of 1,996,355,125</w:t>
      </w:r>
      <w:r>
        <w:rPr>
          <w:lang w:val="en-US"/>
        </w:rPr>
        <w:t xml:space="preserve"> (One billion nine hundred ninety six million three hundred fifty five thousand one hundred twenty five) rubles 90 kopecks.</w:t>
      </w:r>
      <w:r>
        <w:rPr>
          <w:lang w:val="en-US"/>
        </w:rPr>
        <w:softHyphen/>
      </w:r>
      <w:r>
        <w:rPr>
          <w:lang w:val="en-US"/>
        </w:rPr>
        <w:softHyphen/>
      </w:r>
      <w:r>
        <w:rPr>
          <w:lang w:val="en-US"/>
        </w:rPr>
        <w:softHyphen/>
      </w:r>
      <w:r>
        <w:rPr>
          <w:lang w:val="en-US"/>
        </w:rPr>
        <w:softHyphen/>
      </w:r>
    </w:p>
    <w:p w:rsidR="00285954" w:rsidRPr="00C671FC" w:rsidRDefault="00C671FC">
      <w:pPr>
        <w:pStyle w:val="23"/>
        <w:shd w:val="clear" w:color="auto" w:fill="auto"/>
        <w:spacing w:after="240"/>
        <w:ind w:firstLine="680"/>
        <w:rPr>
          <w:lang w:val="en-US"/>
        </w:rPr>
      </w:pPr>
      <w:r>
        <w:rPr>
          <w:lang w:val="en-US"/>
        </w:rPr>
        <w:t xml:space="preserve">Ordinary registered shares, declared by the Company for placement, grant their owners the rights provided for in clause 6.2. of </w:t>
      </w:r>
      <w:r>
        <w:rPr>
          <w:lang w:val="en-US"/>
        </w:rPr>
        <w:t>this Charter. ”</w:t>
      </w:r>
      <w:r>
        <w:rPr>
          <w:lang w:val="en-US"/>
        </w:rPr>
        <w:softHyphen/>
      </w:r>
    </w:p>
    <w:p w:rsidR="00285954" w:rsidRPr="00C671FC" w:rsidRDefault="00C671FC">
      <w:pPr>
        <w:pStyle w:val="60"/>
        <w:shd w:val="clear" w:color="auto" w:fill="auto"/>
        <w:spacing w:before="0"/>
        <w:jc w:val="both"/>
        <w:rPr>
          <w:lang w:val="en-US"/>
        </w:rPr>
      </w:pPr>
      <w:r>
        <w:rPr>
          <w:rStyle w:val="61"/>
          <w:b/>
          <w:bCs/>
          <w:lang w:val="en-US"/>
        </w:rPr>
        <w:t>ISSUE 3:</w:t>
      </w:r>
      <w:r>
        <w:rPr>
          <w:lang w:val="en-US"/>
        </w:rPr>
        <w:t xml:space="preserve"> On increasing the authorized capital of IDGC of the South, PJSC by offering additional shares.</w:t>
      </w:r>
    </w:p>
    <w:p w:rsidR="00285954" w:rsidRPr="00C671FC" w:rsidRDefault="00C671FC">
      <w:pPr>
        <w:pStyle w:val="60"/>
        <w:shd w:val="clear" w:color="auto" w:fill="auto"/>
        <w:spacing w:before="0"/>
        <w:jc w:val="both"/>
        <w:rPr>
          <w:lang w:val="en-US"/>
        </w:rPr>
      </w:pPr>
      <w:r>
        <w:rPr>
          <w:rStyle w:val="61"/>
          <w:b/>
          <w:bCs/>
          <w:lang w:val="en-US"/>
        </w:rPr>
        <w:t>DRAFT DECISION:</w:t>
      </w:r>
    </w:p>
    <w:p w:rsidR="00B979C4" w:rsidRPr="00C671FC" w:rsidRDefault="00C671FC" w:rsidP="00B979C4">
      <w:pPr>
        <w:pStyle w:val="23"/>
        <w:shd w:val="clear" w:color="auto" w:fill="auto"/>
        <w:ind w:firstLine="680"/>
        <w:rPr>
          <w:lang w:val="en-US"/>
        </w:rPr>
      </w:pPr>
      <w:r>
        <w:rPr>
          <w:lang w:val="en-US"/>
        </w:rPr>
        <w:t>“To increase the authorized capital of IDGC of South, PJSC by offering additional ordinary registered uncertified stock</w:t>
      </w:r>
      <w:r>
        <w:rPr>
          <w:lang w:val="en-US"/>
        </w:rPr>
        <w:t xml:space="preserve"> in the amount of 19,963,551,259 (Nineteen billion nine hundred and sixty-three million five hundred fifty-one thousand two hundred and fifty-nine) shares,  the nominal value of one share being 10 (ten) kopecks for the amount of the nominal value of 1 996 </w:t>
      </w:r>
      <w:r>
        <w:rPr>
          <w:lang w:val="en-US"/>
        </w:rPr>
        <w:t>355 125 (One billion nine hundred ninety six million three hundred fifty five thousand one hundred twenty five) rubles 90 kopecks, on the following basic conditions:</w:t>
      </w:r>
      <w:r>
        <w:rPr>
          <w:lang w:val="en-US"/>
        </w:rPr>
        <w:softHyphen/>
      </w:r>
      <w:r>
        <w:rPr>
          <w:lang w:val="en-US"/>
        </w:rPr>
        <w:softHyphen/>
      </w:r>
      <w:r>
        <w:rPr>
          <w:lang w:val="en-US"/>
        </w:rPr>
        <w:softHyphen/>
      </w:r>
      <w:r>
        <w:rPr>
          <w:lang w:val="en-US"/>
        </w:rPr>
        <w:softHyphen/>
      </w:r>
    </w:p>
    <w:p w:rsidR="00B979C4" w:rsidRPr="00C671FC" w:rsidRDefault="00C671FC" w:rsidP="00B979C4">
      <w:pPr>
        <w:pStyle w:val="23"/>
        <w:numPr>
          <w:ilvl w:val="0"/>
          <w:numId w:val="2"/>
        </w:numPr>
        <w:shd w:val="clear" w:color="auto" w:fill="auto"/>
        <w:rPr>
          <w:lang w:val="en-US"/>
        </w:rPr>
      </w:pPr>
      <w:r>
        <w:rPr>
          <w:lang w:val="en-US"/>
        </w:rPr>
        <w:lastRenderedPageBreak/>
        <w:t>method of placement: public offering;</w:t>
      </w:r>
    </w:p>
    <w:p w:rsidR="00B979C4" w:rsidRPr="00C671FC" w:rsidRDefault="00C671FC" w:rsidP="00B979C4">
      <w:pPr>
        <w:pStyle w:val="23"/>
        <w:numPr>
          <w:ilvl w:val="0"/>
          <w:numId w:val="2"/>
        </w:numPr>
        <w:shd w:val="clear" w:color="auto" w:fill="auto"/>
        <w:ind w:left="0" w:firstLine="1040"/>
        <w:rPr>
          <w:lang w:val="en-US"/>
        </w:rPr>
      </w:pPr>
      <w:r>
        <w:rPr>
          <w:lang w:val="en-US"/>
        </w:rPr>
        <w:t>the placement price of one additional ordinary r</w:t>
      </w:r>
      <w:r>
        <w:rPr>
          <w:lang w:val="en-US"/>
        </w:rPr>
        <w:t>egistered uncertificated shares (including to persons included in the list of persons having the preemptive right to purchase placed additional shares):</w:t>
      </w:r>
      <w:r>
        <w:rPr>
          <w:lang w:val="en-US"/>
        </w:rPr>
        <w:softHyphen/>
      </w:r>
      <w:r>
        <w:rPr>
          <w:lang w:val="en-US"/>
        </w:rPr>
        <w:softHyphen/>
        <w:t xml:space="preserve"> 10 (ten) kopecks;</w:t>
      </w:r>
      <w:r>
        <w:rPr>
          <w:lang w:val="en-US"/>
        </w:rPr>
        <w:softHyphen/>
      </w:r>
    </w:p>
    <w:p w:rsidR="00285954" w:rsidRPr="00C671FC" w:rsidRDefault="00C671FC" w:rsidP="00B979C4">
      <w:pPr>
        <w:pStyle w:val="23"/>
        <w:numPr>
          <w:ilvl w:val="0"/>
          <w:numId w:val="2"/>
        </w:numPr>
        <w:shd w:val="clear" w:color="auto" w:fill="auto"/>
        <w:ind w:left="0" w:firstLine="1040"/>
        <w:rPr>
          <w:lang w:val="en-US"/>
        </w:rPr>
      </w:pPr>
      <w:r>
        <w:rPr>
          <w:lang w:val="en-US"/>
        </w:rPr>
        <w:t>form of payment : Payment for additional ordinary registered uncertified shares of</w:t>
      </w:r>
      <w:r>
        <w:rPr>
          <w:lang w:val="en-US"/>
        </w:rPr>
        <w:t xml:space="preserve"> the Company is carried out  in Russian rubles in a non-cash form.</w:t>
      </w:r>
      <w:r>
        <w:rPr>
          <w:lang w:val="en-US"/>
        </w:rPr>
        <w:softHyphen/>
      </w:r>
      <w:r>
        <w:rPr>
          <w:lang w:val="en-US"/>
        </w:rPr>
        <w:softHyphen/>
      </w:r>
    </w:p>
    <w:sectPr w:rsidR="00285954" w:rsidRPr="00C671FC">
      <w:type w:val="continuous"/>
      <w:pgSz w:w="11900" w:h="16840"/>
      <w:pgMar w:top="797" w:right="802" w:bottom="835" w:left="143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F88"/>
    <w:multiLevelType w:val="multilevel"/>
    <w:tmpl w:val="23E67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B71061"/>
    <w:multiLevelType w:val="hybridMultilevel"/>
    <w:tmpl w:val="2E748B40"/>
    <w:lvl w:ilvl="0" w:tplc="4EEAEE20">
      <w:start w:val="1"/>
      <w:numFmt w:val="bullet"/>
      <w:lvlText w:val="­"/>
      <w:lvlJc w:val="left"/>
      <w:pPr>
        <w:ind w:left="1400" w:hanging="360"/>
      </w:pPr>
      <w:rPr>
        <w:rFonts w:ascii="Sylfaen" w:hAnsi="Sylfaen" w:hint="default"/>
      </w:rPr>
    </w:lvl>
    <w:lvl w:ilvl="1" w:tplc="E208D1A2" w:tentative="1">
      <w:start w:val="1"/>
      <w:numFmt w:val="bullet"/>
      <w:lvlText w:val="o"/>
      <w:lvlJc w:val="left"/>
      <w:pPr>
        <w:ind w:left="1440" w:hanging="360"/>
      </w:pPr>
      <w:rPr>
        <w:rFonts w:ascii="Courier New" w:hAnsi="Courier New" w:cs="Courier New" w:hint="default"/>
      </w:rPr>
    </w:lvl>
    <w:lvl w:ilvl="2" w:tplc="EE5E1FA6" w:tentative="1">
      <w:start w:val="1"/>
      <w:numFmt w:val="bullet"/>
      <w:lvlText w:val=""/>
      <w:lvlJc w:val="left"/>
      <w:pPr>
        <w:ind w:left="2160" w:hanging="360"/>
      </w:pPr>
      <w:rPr>
        <w:rFonts w:ascii="Wingdings" w:hAnsi="Wingdings" w:hint="default"/>
      </w:rPr>
    </w:lvl>
    <w:lvl w:ilvl="3" w:tplc="AF1A246E" w:tentative="1">
      <w:start w:val="1"/>
      <w:numFmt w:val="bullet"/>
      <w:lvlText w:val=""/>
      <w:lvlJc w:val="left"/>
      <w:pPr>
        <w:ind w:left="2880" w:hanging="360"/>
      </w:pPr>
      <w:rPr>
        <w:rFonts w:ascii="Symbol" w:hAnsi="Symbol" w:hint="default"/>
      </w:rPr>
    </w:lvl>
    <w:lvl w:ilvl="4" w:tplc="EDD2517C" w:tentative="1">
      <w:start w:val="1"/>
      <w:numFmt w:val="bullet"/>
      <w:lvlText w:val="o"/>
      <w:lvlJc w:val="left"/>
      <w:pPr>
        <w:ind w:left="3600" w:hanging="360"/>
      </w:pPr>
      <w:rPr>
        <w:rFonts w:ascii="Courier New" w:hAnsi="Courier New" w:cs="Courier New" w:hint="default"/>
      </w:rPr>
    </w:lvl>
    <w:lvl w:ilvl="5" w:tplc="6B400432" w:tentative="1">
      <w:start w:val="1"/>
      <w:numFmt w:val="bullet"/>
      <w:lvlText w:val=""/>
      <w:lvlJc w:val="left"/>
      <w:pPr>
        <w:ind w:left="4320" w:hanging="360"/>
      </w:pPr>
      <w:rPr>
        <w:rFonts w:ascii="Wingdings" w:hAnsi="Wingdings" w:hint="default"/>
      </w:rPr>
    </w:lvl>
    <w:lvl w:ilvl="6" w:tplc="470E635C" w:tentative="1">
      <w:start w:val="1"/>
      <w:numFmt w:val="bullet"/>
      <w:lvlText w:val=""/>
      <w:lvlJc w:val="left"/>
      <w:pPr>
        <w:ind w:left="5040" w:hanging="360"/>
      </w:pPr>
      <w:rPr>
        <w:rFonts w:ascii="Symbol" w:hAnsi="Symbol" w:hint="default"/>
      </w:rPr>
    </w:lvl>
    <w:lvl w:ilvl="7" w:tplc="488CAA4E" w:tentative="1">
      <w:start w:val="1"/>
      <w:numFmt w:val="bullet"/>
      <w:lvlText w:val="o"/>
      <w:lvlJc w:val="left"/>
      <w:pPr>
        <w:ind w:left="5760" w:hanging="360"/>
      </w:pPr>
      <w:rPr>
        <w:rFonts w:ascii="Courier New" w:hAnsi="Courier New" w:cs="Courier New" w:hint="default"/>
      </w:rPr>
    </w:lvl>
    <w:lvl w:ilvl="8" w:tplc="03342BC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81"/>
  <w:drawingGridVerticalSpacing w:val="181"/>
  <w:characterSpacingControl w:val="compressPunctuation"/>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73"/>
    <w:rsid w:val="00C671FC"/>
    <w:rsid w:val="00CD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link w:val="4"/>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4Exact0">
    <w:name w:val="Основной текст (4) Exact_0"/>
    <w:basedOn w:val="4Exact"/>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2">
    <w:name w:val="Заголовок №2_"/>
    <w:basedOn w:val="a0"/>
    <w:link w:val="20"/>
    <w:rPr>
      <w:rFonts w:ascii="Consolas" w:eastAsia="Consolas" w:hAnsi="Consolas" w:cs="Consolas"/>
      <w:b w:val="0"/>
      <w:bCs w:val="0"/>
      <w:i w:val="0"/>
      <w:iCs w:val="0"/>
      <w:smallCaps w:val="0"/>
      <w:strike w:val="0"/>
      <w:sz w:val="38"/>
      <w:szCs w:val="38"/>
      <w:u w:val="none"/>
    </w:rPr>
  </w:style>
  <w:style w:type="character" w:customStyle="1" w:styleId="21">
    <w:name w:val="Заголовок №2"/>
    <w:basedOn w:val="2"/>
    <w:rPr>
      <w:rFonts w:ascii="Consolas" w:eastAsia="Consolas" w:hAnsi="Consolas" w:cs="Consolas"/>
      <w:b w:val="0"/>
      <w:bCs w:val="0"/>
      <w:i w:val="0"/>
      <w:iCs w:val="0"/>
      <w:smallCaps w:val="0"/>
      <w:strike w:val="0"/>
      <w:color w:val="000000"/>
      <w:spacing w:val="0"/>
      <w:w w:val="100"/>
      <w:position w:val="0"/>
      <w:sz w:val="38"/>
      <w:szCs w:val="38"/>
      <w:u w:val="none"/>
      <w:lang w:val="ru-RU" w:eastAsia="ru-RU" w:bidi="ru-RU"/>
    </w:rPr>
  </w:style>
  <w:style w:type="character" w:customStyle="1" w:styleId="3">
    <w:name w:val="Основной текст (3)_"/>
    <w:basedOn w:val="a0"/>
    <w:link w:val="30"/>
    <w:rPr>
      <w:rFonts w:ascii="Consolas" w:eastAsia="Consolas" w:hAnsi="Consolas" w:cs="Consolas"/>
      <w:b w:val="0"/>
      <w:bCs w:val="0"/>
      <w:i w:val="0"/>
      <w:iCs w:val="0"/>
      <w:smallCaps w:val="0"/>
      <w:strike w:val="0"/>
      <w:sz w:val="8"/>
      <w:szCs w:val="8"/>
      <w:u w:val="none"/>
    </w:rPr>
  </w:style>
  <w:style w:type="character" w:customStyle="1" w:styleId="31">
    <w:name w:val="Основной текст (3)"/>
    <w:basedOn w:val="3"/>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6"/>
      <w:szCs w:val="3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10"/>
      <w:w w:val="100"/>
      <w:position w:val="0"/>
      <w:sz w:val="36"/>
      <w:szCs w:val="36"/>
      <w:u w:val="none"/>
      <w:lang w:val="ru-RU" w:eastAsia="ru-RU" w:bidi="ru-RU"/>
    </w:rPr>
  </w:style>
  <w:style w:type="character" w:customStyle="1" w:styleId="5">
    <w:name w:val="Основной текст (5)_"/>
    <w:basedOn w:val="a0"/>
    <w:link w:val="5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51">
    <w:name w:val="Основной текст (5)"/>
    <w:basedOn w:val="5"/>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32">
    <w:name w:val="Заголовок №3_"/>
    <w:basedOn w:val="a0"/>
    <w:link w:val="300"/>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 (4)"/>
    <w:basedOn w:val="a"/>
    <w:link w:val="4Exact"/>
    <w:pPr>
      <w:shd w:val="clear" w:color="auto" w:fill="FFFFFF"/>
      <w:spacing w:line="110" w:lineRule="exact"/>
    </w:pPr>
    <w:rPr>
      <w:rFonts w:ascii="Franklin Gothic Heavy" w:eastAsia="Franklin Gothic Heavy" w:hAnsi="Franklin Gothic Heavy" w:cs="Franklin Gothic Heavy"/>
      <w:sz w:val="10"/>
      <w:szCs w:val="10"/>
    </w:rPr>
  </w:style>
  <w:style w:type="paragraph" w:customStyle="1" w:styleId="20">
    <w:name w:val="Заголовок №2_0"/>
    <w:basedOn w:val="a"/>
    <w:link w:val="2"/>
    <w:pPr>
      <w:shd w:val="clear" w:color="auto" w:fill="FFFFFF"/>
      <w:spacing w:line="0" w:lineRule="atLeast"/>
      <w:outlineLvl w:val="1"/>
    </w:pPr>
    <w:rPr>
      <w:rFonts w:ascii="Consolas" w:eastAsia="Consolas" w:hAnsi="Consolas" w:cs="Consolas"/>
      <w:sz w:val="38"/>
      <w:szCs w:val="38"/>
    </w:rPr>
  </w:style>
  <w:style w:type="paragraph" w:customStyle="1" w:styleId="30">
    <w:name w:val="Основной текст (3)_0"/>
    <w:basedOn w:val="a"/>
    <w:link w:val="3"/>
    <w:pPr>
      <w:shd w:val="clear" w:color="auto" w:fill="FFFFFF"/>
      <w:spacing w:line="0" w:lineRule="atLeast"/>
    </w:pPr>
    <w:rPr>
      <w:rFonts w:ascii="Consolas" w:eastAsia="Consolas" w:hAnsi="Consolas" w:cs="Consolas"/>
      <w:sz w:val="8"/>
      <w:szCs w:val="8"/>
    </w:rPr>
  </w:style>
  <w:style w:type="paragraph" w:customStyle="1" w:styleId="10">
    <w:name w:val="Заголовок №1_0"/>
    <w:basedOn w:val="a"/>
    <w:link w:val="1"/>
    <w:pPr>
      <w:shd w:val="clear" w:color="auto" w:fill="FFFFFF"/>
      <w:spacing w:line="0" w:lineRule="atLeast"/>
      <w:outlineLvl w:val="0"/>
    </w:pPr>
    <w:rPr>
      <w:rFonts w:ascii="Times New Roman" w:eastAsia="Times New Roman" w:hAnsi="Times New Roman" w:cs="Times New Roman"/>
      <w:b/>
      <w:bCs/>
      <w:spacing w:val="-10"/>
      <w:sz w:val="36"/>
      <w:szCs w:val="36"/>
    </w:rPr>
  </w:style>
  <w:style w:type="paragraph" w:customStyle="1" w:styleId="50">
    <w:name w:val="Основной текст (5)_0"/>
    <w:basedOn w:val="a"/>
    <w:link w:val="5"/>
    <w:pPr>
      <w:shd w:val="clear" w:color="auto" w:fill="FFFFFF"/>
      <w:spacing w:after="540" w:line="0" w:lineRule="atLeast"/>
    </w:pPr>
    <w:rPr>
      <w:rFonts w:ascii="Franklin Gothic Heavy" w:eastAsia="Franklin Gothic Heavy" w:hAnsi="Franklin Gothic Heavy" w:cs="Franklin Gothic Heavy"/>
      <w:sz w:val="10"/>
      <w:szCs w:val="10"/>
    </w:rPr>
  </w:style>
  <w:style w:type="paragraph" w:customStyle="1" w:styleId="60">
    <w:name w:val="Основной текст (6)_0"/>
    <w:basedOn w:val="a"/>
    <w:link w:val="6"/>
    <w:pPr>
      <w:shd w:val="clear" w:color="auto" w:fill="FFFFFF"/>
      <w:spacing w:before="540" w:line="298" w:lineRule="exact"/>
      <w:jc w:val="center"/>
    </w:pPr>
    <w:rPr>
      <w:rFonts w:ascii="Times New Roman" w:eastAsia="Times New Roman" w:hAnsi="Times New Roman" w:cs="Times New Roman"/>
      <w:b/>
      <w:bCs/>
      <w:sz w:val="26"/>
      <w:szCs w:val="26"/>
    </w:rPr>
  </w:style>
  <w:style w:type="paragraph" w:customStyle="1" w:styleId="300">
    <w:name w:val="Заголовок №3_0"/>
    <w:basedOn w:val="a"/>
    <w:link w:val="32"/>
    <w:pPr>
      <w:shd w:val="clear" w:color="auto" w:fill="FFFFFF"/>
      <w:spacing w:line="298" w:lineRule="exact"/>
      <w:jc w:val="center"/>
      <w:outlineLvl w:val="2"/>
    </w:pPr>
    <w:rPr>
      <w:rFonts w:ascii="Times New Roman" w:eastAsia="Times New Roman" w:hAnsi="Times New Roman" w:cs="Times New Roman"/>
      <w:b/>
      <w:bCs/>
      <w:sz w:val="26"/>
      <w:szCs w:val="26"/>
    </w:rPr>
  </w:style>
  <w:style w:type="paragraph" w:customStyle="1" w:styleId="23">
    <w:name w:val="Основной текст (2)"/>
    <w:basedOn w:val="a"/>
    <w:link w:val="22"/>
    <w:pPr>
      <w:shd w:val="clear" w:color="auto" w:fill="FFFFFF"/>
      <w:spacing w:line="298" w:lineRule="exact"/>
      <w:jc w:val="both"/>
    </w:pPr>
    <w:rPr>
      <w:rFonts w:ascii="Times New Roman" w:eastAsia="Times New Roman" w:hAnsi="Times New Roman" w:cs="Times New Roman"/>
    </w:rPr>
  </w:style>
  <w:style w:type="paragraph" w:customStyle="1" w:styleId="0">
    <w:name w:val="Колонтитул_0"/>
    <w:basedOn w:val="a"/>
    <w:link w:val="a4"/>
    <w:pPr>
      <w:shd w:val="clear" w:color="auto" w:fill="FFFFFF"/>
      <w:spacing w:line="0" w:lineRule="atLeast"/>
    </w:pPr>
    <w:rPr>
      <w:rFonts w:ascii="Times New Roman" w:eastAsia="Times New Roman" w:hAnsi="Times New Roman" w:cs="Times New Roman"/>
      <w:sz w:val="22"/>
      <w:szCs w:val="22"/>
    </w:rPr>
  </w:style>
  <w:style w:type="table" w:styleId="a6">
    <w:name w:val="Table Grid"/>
    <w:basedOn w:val="a1"/>
    <w:uiPriority w:val="59"/>
    <w:rsid w:val="0064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4504"/>
    <w:pPr>
      <w:tabs>
        <w:tab w:val="center" w:pos="4677"/>
        <w:tab w:val="right" w:pos="9355"/>
      </w:tabs>
    </w:pPr>
  </w:style>
  <w:style w:type="character" w:customStyle="1" w:styleId="a8">
    <w:name w:val="Верхний колонтитул Знак"/>
    <w:basedOn w:val="a0"/>
    <w:link w:val="a7"/>
    <w:uiPriority w:val="99"/>
    <w:rsid w:val="00634504"/>
    <w:rPr>
      <w:color w:val="000000"/>
    </w:rPr>
  </w:style>
  <w:style w:type="paragraph" w:styleId="a9">
    <w:name w:val="footer"/>
    <w:basedOn w:val="a"/>
    <w:link w:val="aa"/>
    <w:uiPriority w:val="99"/>
    <w:unhideWhenUsed/>
    <w:rsid w:val="00634504"/>
    <w:pPr>
      <w:tabs>
        <w:tab w:val="center" w:pos="4677"/>
        <w:tab w:val="right" w:pos="9355"/>
      </w:tabs>
    </w:pPr>
  </w:style>
  <w:style w:type="character" w:customStyle="1" w:styleId="aa">
    <w:name w:val="Нижний колонтитул Знак"/>
    <w:basedOn w:val="a0"/>
    <w:link w:val="a9"/>
    <w:uiPriority w:val="99"/>
    <w:rsid w:val="00634504"/>
    <w:rPr>
      <w:color w:val="000000"/>
    </w:rPr>
  </w:style>
  <w:style w:type="paragraph" w:styleId="ab">
    <w:name w:val="Balloon Text"/>
    <w:basedOn w:val="a"/>
    <w:link w:val="ac"/>
    <w:uiPriority w:val="99"/>
    <w:semiHidden/>
    <w:unhideWhenUsed/>
    <w:rsid w:val="00C671FC"/>
    <w:rPr>
      <w:rFonts w:ascii="Tahoma" w:hAnsi="Tahoma" w:cs="Tahoma"/>
      <w:sz w:val="16"/>
      <w:szCs w:val="16"/>
    </w:rPr>
  </w:style>
  <w:style w:type="character" w:customStyle="1" w:styleId="ac">
    <w:name w:val="Текст выноски Знак"/>
    <w:basedOn w:val="a0"/>
    <w:link w:val="ab"/>
    <w:uiPriority w:val="99"/>
    <w:semiHidden/>
    <w:rsid w:val="00C671F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Микуцкий Янис</cp:lastModifiedBy>
  <cp:revision>8</cp:revision>
  <dcterms:created xsi:type="dcterms:W3CDTF">2019-03-19T13:45:00Z</dcterms:created>
  <dcterms:modified xsi:type="dcterms:W3CDTF">2019-04-03T08:03:00Z</dcterms:modified>
</cp:coreProperties>
</file>